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DECLARAÇÃO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ÉTNICO-RACIAL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______________________________________ (informar se é NEGRO OU INDÍGENA).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-400048</wp:posOffset>
          </wp:positionH>
          <wp:positionV relativeFrom="paragraph">
            <wp:posOffset>-257173</wp:posOffset>
          </wp:positionV>
          <wp:extent cx="3087106" cy="39960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2762250</wp:posOffset>
          </wp:positionH>
          <wp:positionV relativeFrom="paragraph">
            <wp:posOffset>-295273</wp:posOffset>
          </wp:positionV>
          <wp:extent cx="3357966" cy="4762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357966" cy="476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VzE9Nf/JeU7cRidKub9NFVFdjA==">CgMxLjA4AHIhMXcwcnlyMGo2Q2F0anl6cWVyYlFSUG5oZkFHdFpWNW1y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